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ED578" w14:textId="77777777" w:rsidR="008D630F" w:rsidRDefault="008D630F">
      <w:pPr>
        <w:pStyle w:val="1"/>
      </w:pPr>
      <w:r>
        <w:t xml:space="preserve">                                       </w:t>
      </w:r>
    </w:p>
    <w:p w14:paraId="0FFCB5B8" w14:textId="1F8E77EB" w:rsidR="008D630F" w:rsidRDefault="008D630F">
      <w:pPr>
        <w:pStyle w:val="1"/>
      </w:pPr>
      <w:r>
        <w:t xml:space="preserve">                                                  </w:t>
      </w:r>
      <w:r>
        <w:rPr>
          <w:noProof/>
        </w:rPr>
        <w:drawing>
          <wp:inline distT="0" distB="0" distL="0" distR="0" wp14:anchorId="6834325B" wp14:editId="763B03B4">
            <wp:extent cx="1687286" cy="1687286"/>
            <wp:effectExtent l="0" t="0" r="8255" b="8255"/>
            <wp:docPr id="1721112576" name="Рисунок 1" descr="Изображение выглядит как Шрифт, Графика, логотип, символ&#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112576" name="Рисунок 1" descr="Изображение выглядит как Шрифт, Графика, логотип, символ&#10;&#10;Содержимое, созданное искусственным интеллектом, может быть неверным."/>
                    <pic:cNvPicPr/>
                  </pic:nvPicPr>
                  <pic:blipFill>
                    <a:blip r:embed="rId6"/>
                    <a:stretch>
                      <a:fillRect/>
                    </a:stretch>
                  </pic:blipFill>
                  <pic:spPr>
                    <a:xfrm>
                      <a:off x="0" y="0"/>
                      <a:ext cx="1689579" cy="1689579"/>
                    </a:xfrm>
                    <a:prstGeom prst="rect">
                      <a:avLst/>
                    </a:prstGeom>
                  </pic:spPr>
                </pic:pic>
              </a:graphicData>
            </a:graphic>
          </wp:inline>
        </w:drawing>
      </w:r>
      <w:r>
        <w:t xml:space="preserve">   </w:t>
      </w:r>
    </w:p>
    <w:p w14:paraId="1E4BF967" w14:textId="77777777" w:rsidR="008D630F" w:rsidRDefault="008D630F">
      <w:pPr>
        <w:pStyle w:val="1"/>
      </w:pPr>
    </w:p>
    <w:p w14:paraId="49BDF48D" w14:textId="77777777" w:rsidR="008D630F" w:rsidRDefault="008D630F">
      <w:pPr>
        <w:pStyle w:val="1"/>
      </w:pPr>
    </w:p>
    <w:p w14:paraId="662C9145" w14:textId="77777777" w:rsidR="008D630F" w:rsidRDefault="008D630F">
      <w:pPr>
        <w:pStyle w:val="1"/>
      </w:pPr>
    </w:p>
    <w:p w14:paraId="77B4E7AB" w14:textId="4DE50639" w:rsidR="008D630F" w:rsidRDefault="008D630F">
      <w:pPr>
        <w:pStyle w:val="1"/>
      </w:pPr>
      <w:r>
        <w:rPr>
          <w:noProof/>
        </w:rPr>
        <w:drawing>
          <wp:inline distT="0" distB="0" distL="0" distR="0" wp14:anchorId="4C4C2717" wp14:editId="62F43A03">
            <wp:extent cx="6607719" cy="2729509"/>
            <wp:effectExtent l="0" t="0" r="0" b="0"/>
            <wp:docPr id="91693830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938308" name="Рисунок 916938308"/>
                    <pic:cNvPicPr/>
                  </pic:nvPicPr>
                  <pic:blipFill>
                    <a:blip r:embed="rId7">
                      <a:extLst>
                        <a:ext uri="{96DAC541-7B7A-43D3-8B79-37D633B846F1}">
                          <asvg:svgBlip xmlns:asvg="http://schemas.microsoft.com/office/drawing/2016/SVG/main" r:embed="rId8"/>
                        </a:ext>
                      </a:extLst>
                    </a:blip>
                    <a:stretch>
                      <a:fillRect/>
                    </a:stretch>
                  </pic:blipFill>
                  <pic:spPr>
                    <a:xfrm>
                      <a:off x="0" y="0"/>
                      <a:ext cx="6649856" cy="2746915"/>
                    </a:xfrm>
                    <a:prstGeom prst="rect">
                      <a:avLst/>
                    </a:prstGeom>
                  </pic:spPr>
                </pic:pic>
              </a:graphicData>
            </a:graphic>
          </wp:inline>
        </w:drawing>
      </w:r>
    </w:p>
    <w:p w14:paraId="154E0551" w14:textId="503A8A4B" w:rsidR="008D630F" w:rsidRDefault="008D630F">
      <w:pPr>
        <w:pStyle w:val="1"/>
      </w:pPr>
    </w:p>
    <w:p w14:paraId="03DC4588" w14:textId="77777777" w:rsidR="008D630F" w:rsidRDefault="008D630F">
      <w:pPr>
        <w:pStyle w:val="1"/>
      </w:pPr>
    </w:p>
    <w:p w14:paraId="6898E41D" w14:textId="08AD8537" w:rsidR="00BB5509" w:rsidRDefault="00000000">
      <w:pPr>
        <w:pStyle w:val="1"/>
      </w:pPr>
      <w:r>
        <w:t>JERT Utility Token Whitepaper – Enhanced Regulatory Version</w:t>
      </w:r>
    </w:p>
    <w:p w14:paraId="4C740CD1" w14:textId="01969531" w:rsidR="00BB5509" w:rsidRDefault="00000000" w:rsidP="008D630F">
      <w:pPr>
        <w:pStyle w:val="21"/>
        <w:numPr>
          <w:ilvl w:val="0"/>
          <w:numId w:val="10"/>
        </w:numPr>
      </w:pPr>
      <w:r>
        <w:t>Introduction</w:t>
      </w:r>
    </w:p>
    <w:p w14:paraId="55A04C29" w14:textId="77777777" w:rsidR="008D630F" w:rsidRPr="008D630F" w:rsidRDefault="008D630F" w:rsidP="008D630F"/>
    <w:p w14:paraId="1B1C976D" w14:textId="77777777" w:rsidR="00BB5509" w:rsidRDefault="00000000">
      <w:r>
        <w:t>JERT is a utility token created for the Green Cold Energy Network across Eurasia, operated by TOO Cryogas (Cryogas Kazakhstan). This whitepaper outlines the technical, legal, and infrastructural foundations of the JERT ecosystem, strengthened to meet expectations of the Ministry of Digital Development of Kazakhstan and AIFC regulatory frameworks.</w:t>
      </w:r>
    </w:p>
    <w:p w14:paraId="32EA00D9" w14:textId="32E7E232" w:rsidR="00BB5509" w:rsidRDefault="00000000" w:rsidP="008D630F">
      <w:pPr>
        <w:pStyle w:val="21"/>
        <w:numPr>
          <w:ilvl w:val="0"/>
          <w:numId w:val="10"/>
        </w:numPr>
      </w:pPr>
      <w:r>
        <w:t>Total Emission</w:t>
      </w:r>
    </w:p>
    <w:p w14:paraId="4DC2529B" w14:textId="77777777" w:rsidR="008D630F" w:rsidRPr="008D630F" w:rsidRDefault="008D630F" w:rsidP="008D630F">
      <w:pPr>
        <w:pStyle w:val="ae"/>
      </w:pPr>
    </w:p>
    <w:p w14:paraId="562F4CE9" w14:textId="77777777" w:rsidR="00BB5509" w:rsidRDefault="00000000">
      <w:r>
        <w:t>The total and immutable emission is fixed at 1,000,000,000,000 JERT tokens (1 trillion). No additional minting is possible under any circumstances.</w:t>
      </w:r>
    </w:p>
    <w:p w14:paraId="6FA67CCE" w14:textId="0B495BF7" w:rsidR="00BB5509" w:rsidRDefault="00000000" w:rsidP="008D630F">
      <w:pPr>
        <w:pStyle w:val="21"/>
        <w:numPr>
          <w:ilvl w:val="0"/>
          <w:numId w:val="10"/>
        </w:numPr>
      </w:pPr>
      <w:proofErr w:type="spellStart"/>
      <w:r>
        <w:t>Tokenomics</w:t>
      </w:r>
      <w:proofErr w:type="spellEnd"/>
    </w:p>
    <w:p w14:paraId="3940F024" w14:textId="77777777" w:rsidR="008D630F" w:rsidRPr="008D630F" w:rsidRDefault="008D630F" w:rsidP="008D630F">
      <w:pPr>
        <w:pStyle w:val="ae"/>
      </w:pPr>
    </w:p>
    <w:p w14:paraId="112E34E8" w14:textId="7489E038" w:rsidR="00BB5509" w:rsidRDefault="00000000">
      <w:r>
        <w:t xml:space="preserve">JERT is not a security and does not grant ownership, voting, or dividend rights. </w:t>
      </w:r>
    </w:p>
    <w:p w14:paraId="34B06AAB" w14:textId="77777777" w:rsidR="00BB5509" w:rsidRDefault="00000000">
      <w:r>
        <w:t>Distribution:</w:t>
      </w:r>
    </w:p>
    <w:p w14:paraId="6EF8F969" w14:textId="77777777" w:rsidR="00BB5509" w:rsidRDefault="00000000">
      <w:r>
        <w:t>- 50% Infrastructure &amp; Ecosystem Reserve</w:t>
      </w:r>
    </w:p>
    <w:p w14:paraId="6085226F" w14:textId="77777777" w:rsidR="00BB5509" w:rsidRDefault="00000000">
      <w:r>
        <w:t>- 50% Market &amp; Community Allocation</w:t>
      </w:r>
    </w:p>
    <w:p w14:paraId="6E86EEBD" w14:textId="77777777" w:rsidR="00BB5509" w:rsidRDefault="00BB5509"/>
    <w:p w14:paraId="4981B083" w14:textId="77777777" w:rsidR="00BB5509" w:rsidRDefault="00000000">
      <w:r>
        <w:t>Locked treasury and transparent multi‑signature governance apply.</w:t>
      </w:r>
    </w:p>
    <w:p w14:paraId="0F5D6224" w14:textId="5EDBB6A1" w:rsidR="00BB5509" w:rsidRDefault="00000000" w:rsidP="008D630F">
      <w:pPr>
        <w:pStyle w:val="21"/>
        <w:numPr>
          <w:ilvl w:val="0"/>
          <w:numId w:val="10"/>
        </w:numPr>
      </w:pPr>
      <w:r>
        <w:t>Allocation</w:t>
      </w:r>
    </w:p>
    <w:p w14:paraId="07BC537E" w14:textId="77777777" w:rsidR="008D630F" w:rsidRPr="008D630F" w:rsidRDefault="008D630F" w:rsidP="008D630F">
      <w:pPr>
        <w:pStyle w:val="ae"/>
      </w:pPr>
    </w:p>
    <w:p w14:paraId="0C8ABCAC" w14:textId="77777777" w:rsidR="00BB5509" w:rsidRDefault="00000000">
      <w:r>
        <w:t>• 50% — Corporate reserve (Cryogas Kazakhstan)</w:t>
      </w:r>
    </w:p>
    <w:p w14:paraId="4174D1CD" w14:textId="77777777" w:rsidR="00BB5509" w:rsidRDefault="00000000">
      <w:r>
        <w:t>• 20% — Infrastructure development (LNG/LCNG terminals, cold storage, logistics)</w:t>
      </w:r>
    </w:p>
    <w:p w14:paraId="39A16B9B" w14:textId="77777777" w:rsidR="00BB5509" w:rsidRDefault="00000000">
      <w:r>
        <w:t>• 10% — Market liquidity &amp; staking</w:t>
      </w:r>
    </w:p>
    <w:p w14:paraId="00A9F3C0" w14:textId="77777777" w:rsidR="00BB5509" w:rsidRDefault="00000000">
      <w:r>
        <w:t>• 10% — Team &amp; governance</w:t>
      </w:r>
    </w:p>
    <w:p w14:paraId="12F8C972" w14:textId="77777777" w:rsidR="00BB5509" w:rsidRDefault="00000000">
      <w:r>
        <w:t>• 10% — Strategic partners &amp; onboarding</w:t>
      </w:r>
    </w:p>
    <w:p w14:paraId="6D54D2D5" w14:textId="17224876" w:rsidR="00BB5509" w:rsidRDefault="00000000" w:rsidP="008D630F">
      <w:pPr>
        <w:pStyle w:val="21"/>
        <w:numPr>
          <w:ilvl w:val="0"/>
          <w:numId w:val="10"/>
        </w:numPr>
      </w:pPr>
      <w:r>
        <w:lastRenderedPageBreak/>
        <w:t>Infrastructure Layers</w:t>
      </w:r>
    </w:p>
    <w:p w14:paraId="050B21F4" w14:textId="77777777" w:rsidR="008D630F" w:rsidRPr="008D630F" w:rsidRDefault="008D630F" w:rsidP="008D630F">
      <w:pPr>
        <w:pStyle w:val="ae"/>
      </w:pPr>
    </w:p>
    <w:p w14:paraId="6A293877" w14:textId="77777777" w:rsidR="00BB5509" w:rsidRDefault="00000000">
      <w:r>
        <w:t>JERT derives its utility from industrial infrastructure operated by Cryogas Kazakhstan:</w:t>
      </w:r>
    </w:p>
    <w:p w14:paraId="4A6811DC" w14:textId="77777777" w:rsidR="00BB5509" w:rsidRDefault="00000000">
      <w:r>
        <w:t>1. Cold energy &amp; storage access</w:t>
      </w:r>
    </w:p>
    <w:p w14:paraId="1581FC97" w14:textId="77777777" w:rsidR="00BB5509" w:rsidRDefault="00000000">
      <w:r>
        <w:t>2. Logistics &amp; B2B terminal services</w:t>
      </w:r>
    </w:p>
    <w:p w14:paraId="36C3F443" w14:textId="77777777" w:rsidR="00BB5509" w:rsidRDefault="00000000">
      <w:r>
        <w:t>3. LCNG / LNG / CNG fueling</w:t>
      </w:r>
    </w:p>
    <w:p w14:paraId="167E8C27" w14:textId="77777777" w:rsidR="00BB5509" w:rsidRDefault="00000000">
      <w:r>
        <w:t>4. Energy services (BTU/BOG loop)</w:t>
      </w:r>
    </w:p>
    <w:p w14:paraId="0FD37788" w14:textId="77777777" w:rsidR="00BB5509" w:rsidRDefault="00000000">
      <w:r>
        <w:t>5. Settlements with suppliers &amp; contractors</w:t>
      </w:r>
    </w:p>
    <w:p w14:paraId="3A70A546" w14:textId="0E813DB5" w:rsidR="008D630F" w:rsidRDefault="00000000">
      <w:r>
        <w:t>6. Payroll &amp; incentive systems (optional, compliant)</w:t>
      </w:r>
    </w:p>
    <w:p w14:paraId="35C06F3F" w14:textId="5E965147" w:rsidR="00BB5509" w:rsidRDefault="008D630F">
      <w:pPr>
        <w:pStyle w:val="21"/>
      </w:pPr>
      <w:r>
        <w:t xml:space="preserve">      </w:t>
      </w:r>
      <w:r w:rsidR="00000000">
        <w:t>6. Middle Corridor Eurasia</w:t>
      </w:r>
    </w:p>
    <w:p w14:paraId="6AE95BBE" w14:textId="77777777" w:rsidR="008D630F" w:rsidRPr="008D630F" w:rsidRDefault="008D630F" w:rsidP="008D630F"/>
    <w:p w14:paraId="327894CF" w14:textId="77777777" w:rsidR="00BB5509" w:rsidRDefault="00000000">
      <w:r>
        <w:t>The ecosystem is built around the Middle Corridor (TITR), connecting China–Kazakhstan–Caspian–Caucasus–Türkiye–EU. Cryogas terminals form a unified “Green Cold Energy Network across Eurasia”, supporting cold‑energy recovery, logistics, LCNG infrastructure, and modular data centers.</w:t>
      </w:r>
    </w:p>
    <w:p w14:paraId="56F1A9A1" w14:textId="028F3F7A" w:rsidR="00BB5509" w:rsidRDefault="008D630F" w:rsidP="008D630F">
      <w:pPr>
        <w:pStyle w:val="21"/>
        <w:ind w:left="360"/>
      </w:pPr>
      <w:r>
        <w:t>7.</w:t>
      </w:r>
      <w:r w:rsidR="00000000">
        <w:t>Wallet Classes</w:t>
      </w:r>
    </w:p>
    <w:p w14:paraId="206F2817" w14:textId="77777777" w:rsidR="008D630F" w:rsidRPr="008D630F" w:rsidRDefault="008D630F" w:rsidP="008D630F">
      <w:pPr>
        <w:pStyle w:val="ae"/>
      </w:pPr>
    </w:p>
    <w:p w14:paraId="10057CED" w14:textId="77777777" w:rsidR="00BB5509" w:rsidRDefault="00000000">
      <w:r>
        <w:t>Class A — Corporate treasury</w:t>
      </w:r>
    </w:p>
    <w:p w14:paraId="3D96581B" w14:textId="77777777" w:rsidR="00BB5509" w:rsidRDefault="00000000">
      <w:r>
        <w:t>Class B — Partners &amp; suppliers</w:t>
      </w:r>
    </w:p>
    <w:p w14:paraId="4BBECCA3" w14:textId="77777777" w:rsidR="00BB5509" w:rsidRDefault="00000000">
      <w:r>
        <w:t>Class C — Public utility users</w:t>
      </w:r>
    </w:p>
    <w:p w14:paraId="71BD7855" w14:textId="55B25260" w:rsidR="00BB5509" w:rsidRDefault="008D630F" w:rsidP="008D630F">
      <w:pPr>
        <w:pStyle w:val="21"/>
        <w:ind w:left="360"/>
      </w:pPr>
      <w:r>
        <w:t>8.</w:t>
      </w:r>
      <w:r w:rsidR="00000000">
        <w:t>Token Use Cases</w:t>
      </w:r>
    </w:p>
    <w:p w14:paraId="73B92D65" w14:textId="77777777" w:rsidR="008D630F" w:rsidRPr="008D630F" w:rsidRDefault="008D630F" w:rsidP="008D630F">
      <w:pPr>
        <w:pStyle w:val="ae"/>
      </w:pPr>
    </w:p>
    <w:p w14:paraId="0CBE3D08" w14:textId="77777777" w:rsidR="00BB5509" w:rsidRDefault="00000000">
      <w:r>
        <w:t>• Contractor settlements (up to 30%)</w:t>
      </w:r>
    </w:p>
    <w:p w14:paraId="793821F6" w14:textId="77777777" w:rsidR="00BB5509" w:rsidRDefault="00000000">
      <w:r>
        <w:t>• Optional salary payments</w:t>
      </w:r>
    </w:p>
    <w:p w14:paraId="797BD433" w14:textId="77777777" w:rsidR="00BB5509" w:rsidRDefault="00000000">
      <w:r>
        <w:t>• International supplier payments</w:t>
      </w:r>
    </w:p>
    <w:p w14:paraId="1E888FDB" w14:textId="77777777" w:rsidR="00BB5509" w:rsidRDefault="00000000">
      <w:r>
        <w:t>• Terminal access &amp; cold‑energy fees</w:t>
      </w:r>
    </w:p>
    <w:p w14:paraId="78038A9D" w14:textId="77777777" w:rsidR="00BB5509" w:rsidRDefault="00000000">
      <w:r>
        <w:t>• LCNG and B2B services</w:t>
      </w:r>
    </w:p>
    <w:p w14:paraId="5636F5CD" w14:textId="77777777" w:rsidR="008D630F" w:rsidRDefault="008D630F"/>
    <w:p w14:paraId="3AE9A2DF" w14:textId="1D562296" w:rsidR="00BB5509" w:rsidRDefault="008D630F">
      <w:pPr>
        <w:pStyle w:val="21"/>
      </w:pPr>
      <w:r>
        <w:lastRenderedPageBreak/>
        <w:t>9</w:t>
      </w:r>
      <w:r w:rsidR="00000000">
        <w:t>. Technical Architecture</w:t>
      </w:r>
    </w:p>
    <w:p w14:paraId="76332D24" w14:textId="77777777" w:rsidR="008D630F" w:rsidRPr="008D630F" w:rsidRDefault="008D630F" w:rsidP="008D630F"/>
    <w:p w14:paraId="71640DCD" w14:textId="1580933D" w:rsidR="00BB5509" w:rsidRDefault="00000000">
      <w:r>
        <w:t>JERT operates on an EVM‑compatible blockchain with minimum five (5) VPS validator nodes.</w:t>
      </w:r>
    </w:p>
    <w:p w14:paraId="26726457" w14:textId="77777777" w:rsidR="00BB5509" w:rsidRDefault="00000000">
      <w:r>
        <w:t>API Layer integrates:</w:t>
      </w:r>
    </w:p>
    <w:p w14:paraId="0D80229E" w14:textId="77777777" w:rsidR="00BB5509" w:rsidRDefault="00000000">
      <w:r>
        <w:t>- ERP/WMS/TMS systems</w:t>
      </w:r>
    </w:p>
    <w:p w14:paraId="07BCC60B" w14:textId="77777777" w:rsidR="00BB5509" w:rsidRDefault="00000000">
      <w:r>
        <w:t>- LCNG metering</w:t>
      </w:r>
    </w:p>
    <w:p w14:paraId="700641C6" w14:textId="77777777" w:rsidR="00BB5509" w:rsidRDefault="00000000">
      <w:r>
        <w:t>- SCADA/IoT cold‑storage</w:t>
      </w:r>
    </w:p>
    <w:p w14:paraId="3B164875" w14:textId="77777777" w:rsidR="00BB5509" w:rsidRDefault="00000000">
      <w:r>
        <w:t>- KYC/AML providers</w:t>
      </w:r>
    </w:p>
    <w:p w14:paraId="60E69056" w14:textId="77777777" w:rsidR="00BB5509" w:rsidRDefault="00BB5509"/>
    <w:p w14:paraId="083C194C" w14:textId="77777777" w:rsidR="00BB5509" w:rsidRDefault="00000000">
      <w:r>
        <w:t>Real‑time token settlement is linked to physical service delivery.</w:t>
      </w:r>
    </w:p>
    <w:p w14:paraId="04A33B39" w14:textId="422AAC68" w:rsidR="00BB5509" w:rsidRDefault="008D630F" w:rsidP="008D630F">
      <w:pPr>
        <w:pStyle w:val="21"/>
      </w:pPr>
      <w:r>
        <w:t>10.</w:t>
      </w:r>
      <w:r w:rsidR="00000000">
        <w:t>Governance</w:t>
      </w:r>
    </w:p>
    <w:p w14:paraId="2EF3DCCC" w14:textId="77777777" w:rsidR="008D630F" w:rsidRPr="008D630F" w:rsidRDefault="008D630F" w:rsidP="008D630F">
      <w:pPr>
        <w:pStyle w:val="ae"/>
      </w:pPr>
    </w:p>
    <w:p w14:paraId="0523BF8B" w14:textId="77777777" w:rsidR="00BB5509" w:rsidRDefault="00000000">
      <w:r>
        <w:t>Governance is anchored by Cryogas Kazakhstan with:</w:t>
      </w:r>
    </w:p>
    <w:p w14:paraId="4777F610" w14:textId="77777777" w:rsidR="00BB5509" w:rsidRDefault="00000000">
      <w:r>
        <w:t>- transparent reporting,</w:t>
      </w:r>
    </w:p>
    <w:p w14:paraId="602790FD" w14:textId="77777777" w:rsidR="00BB5509" w:rsidRDefault="00000000">
      <w:r>
        <w:t>- multi‑signature treasury control,</w:t>
      </w:r>
    </w:p>
    <w:p w14:paraId="68F21732" w14:textId="77777777" w:rsidR="00BB5509" w:rsidRDefault="00000000">
      <w:r>
        <w:t>- ESG compliance,</w:t>
      </w:r>
    </w:p>
    <w:p w14:paraId="2A70B879" w14:textId="77777777" w:rsidR="00BB5509" w:rsidRDefault="00000000">
      <w:r>
        <w:t>- independent audits.</w:t>
      </w:r>
    </w:p>
    <w:p w14:paraId="4161D598" w14:textId="74D1EB8B" w:rsidR="00BB5509" w:rsidRDefault="008D630F">
      <w:pPr>
        <w:pStyle w:val="21"/>
      </w:pPr>
      <w:r>
        <w:t xml:space="preserve">  </w:t>
      </w:r>
      <w:r w:rsidR="00000000">
        <w:t>1</w:t>
      </w:r>
      <w:r>
        <w:t>1</w:t>
      </w:r>
      <w:r w:rsidR="00000000">
        <w:t>. Legal &amp; Compliance</w:t>
      </w:r>
    </w:p>
    <w:p w14:paraId="57F112D2" w14:textId="77777777" w:rsidR="008D630F" w:rsidRPr="008D630F" w:rsidRDefault="008D630F" w:rsidP="008D630F"/>
    <w:p w14:paraId="614C07AD" w14:textId="77777777" w:rsidR="00BB5509" w:rsidRDefault="00000000">
      <w:r>
        <w:t>Fully aligned with Kazakhstan digital‑asset law and AIFC requirements:</w:t>
      </w:r>
    </w:p>
    <w:p w14:paraId="3CCF616C" w14:textId="77777777" w:rsidR="00BB5509" w:rsidRDefault="00000000">
      <w:r>
        <w:t>- fixed supply,</w:t>
      </w:r>
    </w:p>
    <w:p w14:paraId="7AD94373" w14:textId="77777777" w:rsidR="00BB5509" w:rsidRDefault="00000000">
      <w:r>
        <w:t>- transparent circulation,</w:t>
      </w:r>
    </w:p>
    <w:p w14:paraId="7BFD7D19" w14:textId="77777777" w:rsidR="00BB5509" w:rsidRDefault="00000000">
      <w:r>
        <w:t>- immutability of issuance,</w:t>
      </w:r>
    </w:p>
    <w:p w14:paraId="46B51EB2" w14:textId="77777777" w:rsidR="00BB5509" w:rsidRDefault="00000000">
      <w:r>
        <w:t>- KYC/AML where applicable,</w:t>
      </w:r>
    </w:p>
    <w:p w14:paraId="2D675AD2" w14:textId="77777777" w:rsidR="00BB5509" w:rsidRDefault="00000000">
      <w:r>
        <w:t>- full accounting traceability.</w:t>
      </w:r>
    </w:p>
    <w:p w14:paraId="7114010E" w14:textId="77777777" w:rsidR="00BB5509" w:rsidRDefault="00BB5509"/>
    <w:p w14:paraId="27795CF7" w14:textId="77777777" w:rsidR="00BB5509" w:rsidRDefault="00000000">
      <w:r>
        <w:lastRenderedPageBreak/>
        <w:t>This version is strengthened for Ministry review and AIFC compliance.</w:t>
      </w:r>
    </w:p>
    <w:p w14:paraId="75F03257" w14:textId="03A4B281" w:rsidR="00BB5509" w:rsidRDefault="00000000">
      <w:pPr>
        <w:pStyle w:val="21"/>
      </w:pPr>
      <w:r>
        <w:t>1</w:t>
      </w:r>
      <w:r w:rsidR="008D630F">
        <w:t>2</w:t>
      </w:r>
      <w:r>
        <w:t>. Priorities</w:t>
      </w:r>
    </w:p>
    <w:p w14:paraId="56172180" w14:textId="77777777" w:rsidR="008D630F" w:rsidRPr="008D630F" w:rsidRDefault="008D630F" w:rsidP="008D630F"/>
    <w:p w14:paraId="1AC81FCE" w14:textId="77777777" w:rsidR="00BB5509" w:rsidRDefault="00000000">
      <w:r>
        <w:t>1. Infrastructure deployment</w:t>
      </w:r>
    </w:p>
    <w:p w14:paraId="0A78E068" w14:textId="77777777" w:rsidR="00BB5509" w:rsidRDefault="00000000">
      <w:r>
        <w:t>2. Transparent treasury use</w:t>
      </w:r>
    </w:p>
    <w:p w14:paraId="5A459C98" w14:textId="77777777" w:rsidR="00BB5509" w:rsidRDefault="00000000">
      <w:r>
        <w:t>3. Compliance‑first growth</w:t>
      </w:r>
    </w:p>
    <w:p w14:paraId="3B955081" w14:textId="77777777" w:rsidR="00BB5509" w:rsidRDefault="00000000">
      <w:r>
        <w:t>4. Demand‑driven token utility</w:t>
      </w:r>
    </w:p>
    <w:p w14:paraId="773F3571" w14:textId="77777777" w:rsidR="008D630F" w:rsidRDefault="008D630F"/>
    <w:p w14:paraId="6A3E442B" w14:textId="77777777" w:rsidR="00BB5509" w:rsidRDefault="00000000">
      <w:pPr>
        <w:pStyle w:val="21"/>
      </w:pPr>
      <w:r>
        <w:t>Appendices</w:t>
      </w:r>
    </w:p>
    <w:p w14:paraId="38D685F4" w14:textId="77777777" w:rsidR="008D630F" w:rsidRPr="008D630F" w:rsidRDefault="008D630F" w:rsidP="008D630F"/>
    <w:p w14:paraId="71CA279E" w14:textId="77777777" w:rsidR="00BB5509" w:rsidRDefault="00000000">
      <w:r>
        <w:t>A. Corporate structure</w:t>
      </w:r>
    </w:p>
    <w:p w14:paraId="735EDE38" w14:textId="77777777" w:rsidR="00BB5509" w:rsidRDefault="00000000">
      <w:r>
        <w:t>B. Kazakhstan regulatory summary</w:t>
      </w:r>
    </w:p>
    <w:p w14:paraId="197FF412" w14:textId="77777777" w:rsidR="00BB5509" w:rsidRDefault="00000000">
      <w:r>
        <w:t>C. Risk factors</w:t>
      </w:r>
    </w:p>
    <w:p w14:paraId="5CC31567" w14:textId="77777777" w:rsidR="00BB5509" w:rsidRDefault="00000000">
      <w:r>
        <w:t>D. Technical glossary</w:t>
      </w:r>
    </w:p>
    <w:p w14:paraId="4318F978" w14:textId="77777777" w:rsidR="00BB5509" w:rsidRDefault="00000000">
      <w:r>
        <w:t>E. Smart contract audit (pending)</w:t>
      </w:r>
    </w:p>
    <w:p w14:paraId="30273D66" w14:textId="77777777" w:rsidR="00BB5509" w:rsidRDefault="00000000">
      <w:pPr>
        <w:pStyle w:val="1"/>
      </w:pPr>
      <w:r>
        <w:t>Annex F – AML/KYC Framework</w:t>
      </w:r>
    </w:p>
    <w:p w14:paraId="0E0C483F" w14:textId="77777777" w:rsidR="008D630F" w:rsidRPr="008D630F" w:rsidRDefault="008D630F" w:rsidP="008D630F"/>
    <w:p w14:paraId="6C6B2C7F" w14:textId="77777777" w:rsidR="00BB5509" w:rsidRDefault="00000000">
      <w:r>
        <w:t>JERT follows a compliance-first framework aligned with:</w:t>
      </w:r>
    </w:p>
    <w:p w14:paraId="6696F80C" w14:textId="77777777" w:rsidR="00BB5509" w:rsidRDefault="00000000">
      <w:r>
        <w:t>- Ministry of Digital Development of Kazakhstan AML rules</w:t>
      </w:r>
    </w:p>
    <w:p w14:paraId="48B6E490" w14:textId="77777777" w:rsidR="00BB5509" w:rsidRDefault="00000000">
      <w:r>
        <w:t>- AIFC AML/KYC Framework</w:t>
      </w:r>
    </w:p>
    <w:p w14:paraId="2B6B39FC" w14:textId="77777777" w:rsidR="00BB5509" w:rsidRDefault="00000000">
      <w:r>
        <w:t>- FATF recommendations (where applicable)</w:t>
      </w:r>
    </w:p>
    <w:p w14:paraId="4B9C51F0" w14:textId="77777777" w:rsidR="00BB5509" w:rsidRDefault="00BB5509"/>
    <w:p w14:paraId="4700326A" w14:textId="77777777" w:rsidR="00BB5509" w:rsidRDefault="00000000">
      <w:r>
        <w:t>AML/KYC Components:</w:t>
      </w:r>
    </w:p>
    <w:p w14:paraId="6D9AD842" w14:textId="77777777" w:rsidR="00BB5509" w:rsidRDefault="00000000">
      <w:r>
        <w:t>1. Identity verification for partners, suppliers, and major users</w:t>
      </w:r>
    </w:p>
    <w:p w14:paraId="68674E51" w14:textId="77777777" w:rsidR="00BB5509" w:rsidRDefault="00000000">
      <w:r>
        <w:t>2. Risk scoring system for counterparties</w:t>
      </w:r>
    </w:p>
    <w:p w14:paraId="5E345A75" w14:textId="77777777" w:rsidR="00BB5509" w:rsidRDefault="00000000">
      <w:r>
        <w:t>3. Transaction monitoring integrated through API Layer</w:t>
      </w:r>
    </w:p>
    <w:p w14:paraId="197F1CF6" w14:textId="77777777" w:rsidR="00BB5509" w:rsidRDefault="00000000">
      <w:r>
        <w:lastRenderedPageBreak/>
        <w:t>4. Suspicious activity reporting workflow</w:t>
      </w:r>
    </w:p>
    <w:p w14:paraId="3C86D6C5" w14:textId="77777777" w:rsidR="00BB5509" w:rsidRDefault="00000000">
      <w:r>
        <w:t>5. Compliance officer oversight (Cryogas Kazakhstan)</w:t>
      </w:r>
    </w:p>
    <w:p w14:paraId="1BEA0F65" w14:textId="77777777" w:rsidR="00BB5509" w:rsidRDefault="00000000">
      <w:r>
        <w:t>6. Record keeping (minimum 5 years)</w:t>
      </w:r>
    </w:p>
    <w:p w14:paraId="7D5D68A2" w14:textId="77777777" w:rsidR="00BB5509" w:rsidRDefault="00000000">
      <w:pPr>
        <w:pStyle w:val="1"/>
      </w:pPr>
      <w:r>
        <w:t>Annex G – Infrastructure Evidence Pack</w:t>
      </w:r>
    </w:p>
    <w:p w14:paraId="038411FB" w14:textId="77777777" w:rsidR="00BB5509" w:rsidRDefault="00000000">
      <w:r>
        <w:t>The utility of JERT is directly backed by physical and digital Cryogas infrastructure:</w:t>
      </w:r>
    </w:p>
    <w:p w14:paraId="7CB278DC" w14:textId="77777777" w:rsidR="00BB5509" w:rsidRDefault="00BB5509"/>
    <w:p w14:paraId="65D39657" w14:textId="77777777" w:rsidR="00BB5509" w:rsidRDefault="00000000">
      <w:r>
        <w:t>1. LNG/LCNG Terminal Architecture</w:t>
      </w:r>
    </w:p>
    <w:p w14:paraId="013B82B8" w14:textId="77777777" w:rsidR="00BB5509" w:rsidRDefault="00000000">
      <w:r>
        <w:t xml:space="preserve">   - Modular LCNG station</w:t>
      </w:r>
    </w:p>
    <w:p w14:paraId="63126AAA" w14:textId="77777777" w:rsidR="00BB5509" w:rsidRDefault="00000000">
      <w:r>
        <w:t xml:space="preserve">   - Cryogenic tanks and pumps</w:t>
      </w:r>
    </w:p>
    <w:p w14:paraId="5492E0D6" w14:textId="77777777" w:rsidR="00BB5509" w:rsidRDefault="00000000">
      <w:r>
        <w:t xml:space="preserve">   - LNG cold-energy recovery loops (BTU/BOG)</w:t>
      </w:r>
    </w:p>
    <w:p w14:paraId="21C85852" w14:textId="77777777" w:rsidR="00BB5509" w:rsidRDefault="00BB5509"/>
    <w:p w14:paraId="1DF10ED1" w14:textId="77777777" w:rsidR="00BB5509" w:rsidRDefault="00000000">
      <w:r>
        <w:t>2. Cold Storage &amp; Freezing</w:t>
      </w:r>
    </w:p>
    <w:p w14:paraId="43D23746" w14:textId="77777777" w:rsidR="00BB5509" w:rsidRDefault="00000000">
      <w:r>
        <w:t xml:space="preserve">   - Industrial cold chambers</w:t>
      </w:r>
    </w:p>
    <w:p w14:paraId="729F5FFA" w14:textId="77777777" w:rsidR="00BB5509" w:rsidRDefault="00000000">
      <w:r>
        <w:t xml:space="preserve">   - Cryogenic energy recovery coils</w:t>
      </w:r>
    </w:p>
    <w:p w14:paraId="6731FB12" w14:textId="77777777" w:rsidR="00BB5509" w:rsidRDefault="00000000">
      <w:r>
        <w:t xml:space="preserve">   - B2B warehouse modules (20,000 m² expansion zone)</w:t>
      </w:r>
    </w:p>
    <w:p w14:paraId="0379C81F" w14:textId="77777777" w:rsidR="00BB5509" w:rsidRDefault="00BB5509"/>
    <w:p w14:paraId="71FEF3EC" w14:textId="77777777" w:rsidR="00BB5509" w:rsidRDefault="00000000">
      <w:r>
        <w:t>3. B2B Logistics Terminal</w:t>
      </w:r>
    </w:p>
    <w:p w14:paraId="5CE09A72" w14:textId="77777777" w:rsidR="00BB5509" w:rsidRDefault="00000000">
      <w:r>
        <w:t xml:space="preserve">   - Container handling</w:t>
      </w:r>
    </w:p>
    <w:p w14:paraId="2F91EF0B" w14:textId="77777777" w:rsidR="00BB5509" w:rsidRDefault="00000000">
      <w:r>
        <w:t xml:space="preserve">   - Rail access (350 m unloading zone planned)</w:t>
      </w:r>
    </w:p>
    <w:p w14:paraId="0C8C347E" w14:textId="77777777" w:rsidR="00BB5509" w:rsidRDefault="00000000">
      <w:r>
        <w:t xml:space="preserve">   - Re-export zone linked to the Middle Corridor</w:t>
      </w:r>
    </w:p>
    <w:p w14:paraId="79C681CA" w14:textId="77777777" w:rsidR="00BB5509" w:rsidRDefault="00BB5509"/>
    <w:p w14:paraId="4F6E0F2E" w14:textId="77777777" w:rsidR="00BB5509" w:rsidRDefault="00000000">
      <w:r>
        <w:t>4. Digital &amp; API Layer</w:t>
      </w:r>
    </w:p>
    <w:p w14:paraId="4C4927A9" w14:textId="77777777" w:rsidR="00BB5509" w:rsidRDefault="00000000">
      <w:r>
        <w:t xml:space="preserve">   - ERP/TMS/WMS integration</w:t>
      </w:r>
    </w:p>
    <w:p w14:paraId="2D8350F8" w14:textId="77777777" w:rsidR="00BB5509" w:rsidRDefault="00000000">
      <w:r>
        <w:t xml:space="preserve">   - Blockchain–industrial bridge API</w:t>
      </w:r>
    </w:p>
    <w:p w14:paraId="21C5F404" w14:textId="77777777" w:rsidR="00BB5509" w:rsidRDefault="00000000">
      <w:r>
        <w:t xml:space="preserve">   - Real‑time metering from LCNG dispensers</w:t>
      </w:r>
    </w:p>
    <w:p w14:paraId="422F0097" w14:textId="77777777" w:rsidR="00BB5509" w:rsidRDefault="00BB5509"/>
    <w:p w14:paraId="2036711B" w14:textId="77777777" w:rsidR="00BB5509" w:rsidRDefault="00000000">
      <w:r>
        <w:lastRenderedPageBreak/>
        <w:t>5. Evidence Types (included upon request):</w:t>
      </w:r>
    </w:p>
    <w:p w14:paraId="639DE0E3" w14:textId="77777777" w:rsidR="00BB5509" w:rsidRDefault="00000000">
      <w:r>
        <w:t xml:space="preserve">   - Layouts (DWG/PDF)</w:t>
      </w:r>
    </w:p>
    <w:p w14:paraId="3AC95AA1" w14:textId="77777777" w:rsidR="00BB5509" w:rsidRDefault="00000000">
      <w:r>
        <w:t xml:space="preserve">   - Master plan of the Cryogas terminal</w:t>
      </w:r>
    </w:p>
    <w:p w14:paraId="59A6971F" w14:textId="77777777" w:rsidR="00BB5509" w:rsidRDefault="00000000">
      <w:r>
        <w:t xml:space="preserve">   - Infrastructure photos and engineering diagrams</w:t>
      </w:r>
    </w:p>
    <w:p w14:paraId="670068C9" w14:textId="77777777" w:rsidR="00BB5509" w:rsidRDefault="00000000">
      <w:r>
        <w:t xml:space="preserve">   - Power and cold-energy balance sheets</w:t>
      </w:r>
    </w:p>
    <w:p w14:paraId="15C0CFC6" w14:textId="77777777" w:rsidR="00BB5509" w:rsidRDefault="00000000">
      <w:r>
        <w:t xml:space="preserve">   - Regulatory permits and approvals (when issued)</w:t>
      </w:r>
    </w:p>
    <w:sectPr w:rsidR="00BB550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675866CA"/>
    <w:multiLevelType w:val="hybridMultilevel"/>
    <w:tmpl w:val="A0427E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30338683">
    <w:abstractNumId w:val="8"/>
  </w:num>
  <w:num w:numId="2" w16cid:durableId="725028755">
    <w:abstractNumId w:val="6"/>
  </w:num>
  <w:num w:numId="3" w16cid:durableId="180633599">
    <w:abstractNumId w:val="5"/>
  </w:num>
  <w:num w:numId="4" w16cid:durableId="609820043">
    <w:abstractNumId w:val="4"/>
  </w:num>
  <w:num w:numId="5" w16cid:durableId="1226136731">
    <w:abstractNumId w:val="7"/>
  </w:num>
  <w:num w:numId="6" w16cid:durableId="219679095">
    <w:abstractNumId w:val="3"/>
  </w:num>
  <w:num w:numId="7" w16cid:durableId="1183280792">
    <w:abstractNumId w:val="2"/>
  </w:num>
  <w:num w:numId="8" w16cid:durableId="917439595">
    <w:abstractNumId w:val="1"/>
  </w:num>
  <w:num w:numId="9" w16cid:durableId="1941333445">
    <w:abstractNumId w:val="0"/>
  </w:num>
  <w:num w:numId="10" w16cid:durableId="1285990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877066"/>
    <w:rsid w:val="008D630F"/>
    <w:rsid w:val="00AA1D8D"/>
    <w:rsid w:val="00B47730"/>
    <w:rsid w:val="00BB5509"/>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D1B0BD"/>
  <w14:defaultImageDpi w14:val="300"/>
  <w15:docId w15:val="{9E77902E-2C52-4339-9DDF-DB8F584F7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My+Office</cp:lastModifiedBy>
  <cp:revision>2</cp:revision>
  <dcterms:created xsi:type="dcterms:W3CDTF">2025-11-21T18:20:00Z</dcterms:created>
  <dcterms:modified xsi:type="dcterms:W3CDTF">2025-11-21T18:20:00Z</dcterms:modified>
  <cp:category/>
</cp:coreProperties>
</file>